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7B" w:rsidRDefault="00EE697B" w:rsidP="001E5C48">
      <w:pPr>
        <w:pStyle w:val="Normlnweb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</w:p>
    <w:p w:rsidR="00ED5DCF" w:rsidRPr="00CA00C0" w:rsidRDefault="00CA00C0" w:rsidP="00CA00C0">
      <w:pPr>
        <w:pStyle w:val="Normlnweb"/>
        <w:spacing w:before="0" w:beforeAutospacing="0" w:after="240" w:afterAutospacing="0" w:line="360" w:lineRule="atLeast"/>
        <w:rPr>
          <w:rFonts w:ascii="Arial" w:hAnsi="Arial" w:cs="Arial"/>
          <w:color w:val="323A3E"/>
          <w:sz w:val="23"/>
          <w:szCs w:val="23"/>
        </w:rPr>
      </w:pPr>
      <w:bookmarkStart w:id="0" w:name="_GoBack"/>
      <w:r w:rsidRPr="00CA00C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AGROFERT bodoval v Českých 100 nejlepších</w:t>
      </w:r>
    </w:p>
    <w:bookmarkEnd w:id="0"/>
    <w:p w:rsidR="0055047B" w:rsidRDefault="00ED5DCF" w:rsidP="00ED5DCF">
      <w:r>
        <w:t>Praha</w:t>
      </w:r>
      <w:r w:rsidR="00A264E3" w:rsidRPr="00A264E3">
        <w:t xml:space="preserve"> –</w:t>
      </w:r>
      <w:r w:rsidR="00874B09">
        <w:t xml:space="preserve"> </w:t>
      </w:r>
      <w:r w:rsidR="00CA00C0">
        <w:t>10</w:t>
      </w:r>
      <w:r w:rsidR="00A264E3" w:rsidRPr="00A264E3">
        <w:t xml:space="preserve">. </w:t>
      </w:r>
      <w:r w:rsidR="00CA00C0">
        <w:t>prosince</w:t>
      </w:r>
      <w:r w:rsidR="00A264E3" w:rsidRPr="00A264E3">
        <w:t xml:space="preserve"> 2021</w:t>
      </w:r>
    </w:p>
    <w:p w:rsidR="00874B09" w:rsidRPr="00ED5DCF" w:rsidRDefault="00874B09" w:rsidP="00ED5DCF">
      <w:pPr>
        <w:rPr>
          <w:b/>
          <w:bCs/>
          <w:sz w:val="28"/>
          <w:szCs w:val="28"/>
        </w:rPr>
      </w:pPr>
    </w:p>
    <w:p w:rsidR="00CA00C0" w:rsidRDefault="00CA00C0" w:rsidP="00CA00C0">
      <w:pPr>
        <w:pStyle w:val="Normlnweb"/>
        <w:spacing w:before="0" w:beforeAutospacing="0" w:after="240" w:afterAutospacing="0" w:line="360" w:lineRule="atLeast"/>
        <w:rPr>
          <w:rFonts w:asciiTheme="minorHAnsi" w:hAnsiTheme="minorHAnsi" w:cstheme="minorHAnsi"/>
          <w:b/>
          <w:color w:val="323A3E"/>
          <w:sz w:val="22"/>
          <w:szCs w:val="22"/>
        </w:rPr>
      </w:pPr>
      <w:r w:rsidRPr="00CA00C0">
        <w:rPr>
          <w:rFonts w:asciiTheme="minorHAnsi" w:hAnsiTheme="minorHAnsi" w:cstheme="minorHAnsi"/>
          <w:b/>
          <w:color w:val="323A3E"/>
          <w:sz w:val="22"/>
          <w:szCs w:val="22"/>
        </w:rPr>
        <w:t xml:space="preserve">AGROFERT se opět umístil v první desítce firem „ČESKÝCH 100 NEJLEPŠÍCH“. Ocenění převzal poslední listopadový pátek na slavnostním galavečeru ve Španělském sále Pražského hradu Josef Mráz, výkonný ředitel </w:t>
      </w:r>
      <w:proofErr w:type="spellStart"/>
      <w:r w:rsidRPr="00CA00C0">
        <w:rPr>
          <w:rFonts w:asciiTheme="minorHAnsi" w:hAnsiTheme="minorHAnsi" w:cstheme="minorHAnsi"/>
          <w:b/>
          <w:color w:val="323A3E"/>
          <w:sz w:val="22"/>
          <w:szCs w:val="22"/>
        </w:rPr>
        <w:t>AGROFERTu</w:t>
      </w:r>
      <w:proofErr w:type="spellEnd"/>
      <w:r w:rsidRPr="00CA00C0">
        <w:rPr>
          <w:rFonts w:asciiTheme="minorHAnsi" w:hAnsiTheme="minorHAnsi" w:cstheme="minorHAnsi"/>
          <w:b/>
          <w:color w:val="323A3E"/>
          <w:sz w:val="22"/>
          <w:szCs w:val="22"/>
        </w:rPr>
        <w:t>.</w:t>
      </w:r>
    </w:p>
    <w:p w:rsidR="00A264E3" w:rsidRPr="00CA00C0" w:rsidRDefault="00CA00C0" w:rsidP="00CA00C0">
      <w:pPr>
        <w:pStyle w:val="Normlnweb"/>
        <w:spacing w:before="0" w:beforeAutospacing="0" w:after="240" w:afterAutospacing="0" w:line="360" w:lineRule="atLeast"/>
        <w:rPr>
          <w:rFonts w:asciiTheme="minorHAnsi" w:hAnsiTheme="minorHAnsi" w:cstheme="minorHAnsi"/>
          <w:b/>
          <w:color w:val="323A3E"/>
          <w:sz w:val="22"/>
          <w:szCs w:val="22"/>
        </w:rPr>
      </w:pPr>
      <w:r w:rsidRPr="00CA00C0">
        <w:rPr>
          <w:rFonts w:asciiTheme="minorHAnsi" w:hAnsiTheme="minorHAnsi" w:cstheme="minorHAnsi"/>
          <w:color w:val="323A3E"/>
          <w:sz w:val="22"/>
          <w:szCs w:val="22"/>
        </w:rPr>
        <w:t xml:space="preserve">AGROFOERT obsadil sedmé místo v již šestadvacátém ročníku prestižního žebříčku „Českých 100 Nejlepších“. Cílem soutěže, kterou pořádá společnost </w:t>
      </w:r>
      <w:proofErr w:type="spellStart"/>
      <w:r w:rsidRPr="00CA00C0">
        <w:rPr>
          <w:rFonts w:asciiTheme="minorHAnsi" w:hAnsiTheme="minorHAnsi" w:cstheme="minorHAnsi"/>
          <w:color w:val="323A3E"/>
          <w:sz w:val="22"/>
          <w:szCs w:val="22"/>
        </w:rPr>
        <w:t>Comenius</w:t>
      </w:r>
      <w:proofErr w:type="spellEnd"/>
      <w:r w:rsidRPr="00CA00C0">
        <w:rPr>
          <w:rFonts w:asciiTheme="minorHAnsi" w:hAnsiTheme="minorHAnsi" w:cstheme="minorHAnsi"/>
          <w:color w:val="323A3E"/>
          <w:sz w:val="22"/>
          <w:szCs w:val="22"/>
        </w:rPr>
        <w:t xml:space="preserve">, je v celonárodním měřítku nalézt, vybrat, zviditelnit a ocenit české firmy, podniky, či společnosti z co nejširšího spektra ekonomických aktivit, které dosahují vynikajících, mimořádných anebo pozitivně pozoruhodných výsledků. „Vážím si toho ocenění, zejména v tak náročném roce. Vnímám ho jako ocenění práce všech 32 tisíc zaměstnanců </w:t>
      </w:r>
      <w:proofErr w:type="spellStart"/>
      <w:r w:rsidRPr="00CA00C0">
        <w:rPr>
          <w:rFonts w:asciiTheme="minorHAnsi" w:hAnsiTheme="minorHAnsi" w:cstheme="minorHAnsi"/>
          <w:color w:val="323A3E"/>
          <w:sz w:val="22"/>
          <w:szCs w:val="22"/>
        </w:rPr>
        <w:t>AGROFERTu</w:t>
      </w:r>
      <w:proofErr w:type="spellEnd"/>
      <w:r w:rsidRPr="00CA00C0">
        <w:rPr>
          <w:rFonts w:asciiTheme="minorHAnsi" w:hAnsiTheme="minorHAnsi" w:cstheme="minorHAnsi"/>
          <w:color w:val="323A3E"/>
          <w:sz w:val="22"/>
          <w:szCs w:val="22"/>
        </w:rPr>
        <w:t xml:space="preserve">, který je největším českým privátním zaměstnavatelem,“ říká Josef Mráz, výkonný ředitel a místopředseda představenstva </w:t>
      </w:r>
      <w:proofErr w:type="spellStart"/>
      <w:r w:rsidRPr="00CA00C0">
        <w:rPr>
          <w:rFonts w:asciiTheme="minorHAnsi" w:hAnsiTheme="minorHAnsi" w:cstheme="minorHAnsi"/>
          <w:color w:val="323A3E"/>
          <w:sz w:val="22"/>
          <w:szCs w:val="22"/>
        </w:rPr>
        <w:t>AGROFERTu</w:t>
      </w:r>
      <w:proofErr w:type="spellEnd"/>
      <w:r w:rsidRPr="00CA00C0">
        <w:rPr>
          <w:rFonts w:asciiTheme="minorHAnsi" w:hAnsiTheme="minorHAnsi" w:cstheme="minorHAnsi"/>
          <w:color w:val="323A3E"/>
          <w:sz w:val="22"/>
          <w:szCs w:val="22"/>
        </w:rPr>
        <w:t xml:space="preserve"> (na fotografii vlevo s oceněním v ruce). Vedle něho Jiří Rusnok, guvernér ČNB, a Karel Muzikář, prezident společnosti </w:t>
      </w:r>
      <w:proofErr w:type="spellStart"/>
      <w:r w:rsidRPr="00CA00C0">
        <w:rPr>
          <w:rFonts w:asciiTheme="minorHAnsi" w:hAnsiTheme="minorHAnsi" w:cstheme="minorHAnsi"/>
          <w:color w:val="323A3E"/>
          <w:sz w:val="22"/>
          <w:szCs w:val="22"/>
        </w:rPr>
        <w:t>Comenius</w:t>
      </w:r>
      <w:proofErr w:type="spellEnd"/>
      <w:r w:rsidRPr="00CA00C0">
        <w:rPr>
          <w:rFonts w:asciiTheme="minorHAnsi" w:hAnsiTheme="minorHAnsi" w:cstheme="minorHAnsi"/>
          <w:color w:val="323A3E"/>
          <w:sz w:val="22"/>
          <w:szCs w:val="22"/>
        </w:rPr>
        <w:t>.</w:t>
      </w:r>
    </w:p>
    <w:sectPr w:rsidR="00A264E3" w:rsidRPr="00CA00C0" w:rsidSect="005E21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654" w:rsidRDefault="00BE1654" w:rsidP="005E2150">
      <w:pPr>
        <w:spacing w:after="0" w:line="240" w:lineRule="auto"/>
      </w:pPr>
      <w:r>
        <w:separator/>
      </w:r>
    </w:p>
  </w:endnote>
  <w:endnote w:type="continuationSeparator" w:id="0">
    <w:p w:rsidR="00BE1654" w:rsidRDefault="00BE1654" w:rsidP="005E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150" w:rsidRPr="005E2150" w:rsidRDefault="00A264E3" w:rsidP="005E2150">
    <w:pPr>
      <w:spacing w:after="20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30815F" wp14:editId="59FF1F3D">
          <wp:simplePos x="0" y="0"/>
          <wp:positionH relativeFrom="margin">
            <wp:align>left</wp:align>
          </wp:positionH>
          <wp:positionV relativeFrom="paragraph">
            <wp:posOffset>91440</wp:posOffset>
          </wp:positionV>
          <wp:extent cx="1266825" cy="64770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2150">
      <w:rPr>
        <w:noProof/>
      </w:rPr>
      <w:drawing>
        <wp:anchor distT="0" distB="0" distL="114300" distR="114300" simplePos="0" relativeHeight="251659264" behindDoc="1" locked="0" layoutInCell="1" allowOverlap="1" wp14:editId="11FB55CE">
          <wp:simplePos x="0" y="0"/>
          <wp:positionH relativeFrom="column">
            <wp:posOffset>819785</wp:posOffset>
          </wp:positionH>
          <wp:positionV relativeFrom="paragraph">
            <wp:posOffset>10000615</wp:posOffset>
          </wp:positionV>
          <wp:extent cx="1253490" cy="633730"/>
          <wp:effectExtent l="0" t="0" r="3810" b="0"/>
          <wp:wrapNone/>
          <wp:docPr id="3" name="Obrázek 3" descr="agf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f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150">
      <w:rPr>
        <w:noProof/>
      </w:rPr>
      <w:drawing>
        <wp:anchor distT="0" distB="0" distL="114300" distR="114300" simplePos="0" relativeHeight="251658240" behindDoc="1" locked="0" layoutInCell="1" allowOverlap="1" wp14:editId="3C5AB37C">
          <wp:simplePos x="0" y="0"/>
          <wp:positionH relativeFrom="column">
            <wp:posOffset>819785</wp:posOffset>
          </wp:positionH>
          <wp:positionV relativeFrom="paragraph">
            <wp:posOffset>10000615</wp:posOffset>
          </wp:positionV>
          <wp:extent cx="1253490" cy="633730"/>
          <wp:effectExtent l="0" t="0" r="3810" b="0"/>
          <wp:wrapNone/>
          <wp:docPr id="2" name="Obrázek 2" descr="agf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f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654" w:rsidRDefault="00BE1654" w:rsidP="005E2150">
      <w:pPr>
        <w:spacing w:after="0" w:line="240" w:lineRule="auto"/>
      </w:pPr>
      <w:r>
        <w:separator/>
      </w:r>
    </w:p>
  </w:footnote>
  <w:footnote w:type="continuationSeparator" w:id="0">
    <w:p w:rsidR="00BE1654" w:rsidRDefault="00BE1654" w:rsidP="005E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8F2" w:rsidRPr="004208F2" w:rsidRDefault="005E2150" w:rsidP="005E2150">
    <w:pPr>
      <w:pStyle w:val="Zhlav"/>
      <w:rPr>
        <w:rFonts w:ascii="Arial" w:hAnsi="Arial" w:cs="Arial"/>
        <w:sz w:val="24"/>
        <w:szCs w:val="24"/>
      </w:rPr>
    </w:pPr>
    <w:r>
      <w:rPr>
        <w:rFonts w:ascii="Calibri" w:hAnsi="Calibri"/>
        <w:b/>
        <w:noProof/>
        <w:sz w:val="18"/>
        <w:szCs w:val="18"/>
      </w:rPr>
      <w:drawing>
        <wp:inline distT="0" distB="0" distL="0" distR="0" wp14:anchorId="146A0E5E" wp14:editId="3548311C">
          <wp:extent cx="1676400" cy="266700"/>
          <wp:effectExtent l="0" t="0" r="0" b="0"/>
          <wp:docPr id="1" name="Obrázek 1" descr="Agrof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rof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TISKOVÁ ZPRÁVA</w:t>
    </w:r>
  </w:p>
  <w:p w:rsidR="005E2150" w:rsidRPr="005E2150" w:rsidRDefault="005E2150" w:rsidP="005E21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48"/>
    <w:rsid w:val="00006220"/>
    <w:rsid w:val="00007164"/>
    <w:rsid w:val="00040F3A"/>
    <w:rsid w:val="00053A1C"/>
    <w:rsid w:val="0009566B"/>
    <w:rsid w:val="00152638"/>
    <w:rsid w:val="00192672"/>
    <w:rsid w:val="00197532"/>
    <w:rsid w:val="001E443A"/>
    <w:rsid w:val="001E5C48"/>
    <w:rsid w:val="00260123"/>
    <w:rsid w:val="00380258"/>
    <w:rsid w:val="004052C6"/>
    <w:rsid w:val="00406269"/>
    <w:rsid w:val="004208F2"/>
    <w:rsid w:val="00424F80"/>
    <w:rsid w:val="004464C0"/>
    <w:rsid w:val="004C62A4"/>
    <w:rsid w:val="004D435F"/>
    <w:rsid w:val="0055047B"/>
    <w:rsid w:val="00565AC9"/>
    <w:rsid w:val="005A09B8"/>
    <w:rsid w:val="005C0CD6"/>
    <w:rsid w:val="005E2150"/>
    <w:rsid w:val="00613F8D"/>
    <w:rsid w:val="00621044"/>
    <w:rsid w:val="00692AFD"/>
    <w:rsid w:val="006C601F"/>
    <w:rsid w:val="00737194"/>
    <w:rsid w:val="00744877"/>
    <w:rsid w:val="00800F45"/>
    <w:rsid w:val="00852668"/>
    <w:rsid w:val="00874B09"/>
    <w:rsid w:val="00934897"/>
    <w:rsid w:val="009436A4"/>
    <w:rsid w:val="009E2FEE"/>
    <w:rsid w:val="00A264E3"/>
    <w:rsid w:val="00B439FE"/>
    <w:rsid w:val="00B77CD4"/>
    <w:rsid w:val="00BB3F6D"/>
    <w:rsid w:val="00BE1654"/>
    <w:rsid w:val="00C77985"/>
    <w:rsid w:val="00C94662"/>
    <w:rsid w:val="00CA00C0"/>
    <w:rsid w:val="00CD2CED"/>
    <w:rsid w:val="00D25661"/>
    <w:rsid w:val="00DA67B0"/>
    <w:rsid w:val="00DE4A29"/>
    <w:rsid w:val="00DF614E"/>
    <w:rsid w:val="00E34F7B"/>
    <w:rsid w:val="00E70B69"/>
    <w:rsid w:val="00ED5DCF"/>
    <w:rsid w:val="00EE697B"/>
    <w:rsid w:val="00F71964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5F8B6"/>
  <w15:chartTrackingRefBased/>
  <w15:docId w15:val="{ED76B413-8D66-4B4C-A0CB-67D84AD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0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9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9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9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9B8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5E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E2150"/>
  </w:style>
  <w:style w:type="paragraph" w:styleId="Zpat">
    <w:name w:val="footer"/>
    <w:basedOn w:val="Normln"/>
    <w:link w:val="ZpatChar"/>
    <w:uiPriority w:val="99"/>
    <w:unhideWhenUsed/>
    <w:rsid w:val="005E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50"/>
  </w:style>
  <w:style w:type="character" w:styleId="Hypertextovodkaz">
    <w:name w:val="Hyperlink"/>
    <w:rsid w:val="005E215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D5DCF"/>
    <w:rPr>
      <w:b/>
      <w:bCs/>
    </w:rPr>
  </w:style>
  <w:style w:type="character" w:styleId="Zdraznn">
    <w:name w:val="Emphasis"/>
    <w:basedOn w:val="Standardnpsmoodstavce"/>
    <w:uiPriority w:val="20"/>
    <w:qFormat/>
    <w:rsid w:val="00ED5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Hanzelka</dc:creator>
  <cp:keywords/>
  <dc:description/>
  <cp:lastModifiedBy>Kovarikova Anna AGROFERT, a.s.</cp:lastModifiedBy>
  <cp:revision>12</cp:revision>
  <cp:lastPrinted>2021-07-01T07:53:00Z</cp:lastPrinted>
  <dcterms:created xsi:type="dcterms:W3CDTF">2021-07-01T09:52:00Z</dcterms:created>
  <dcterms:modified xsi:type="dcterms:W3CDTF">2021-12-16T03:34:00Z</dcterms:modified>
</cp:coreProperties>
</file>