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D5" w:rsidRPr="006A6ED5" w:rsidRDefault="006A6ED5" w:rsidP="006A6E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6A6E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Společnost Agrofert H</w:t>
      </w:r>
      <w:bookmarkStart w:id="0" w:name="_GoBack"/>
      <w:bookmarkEnd w:id="0"/>
      <w:r w:rsidRPr="006A6E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olding zveřejnila hospodářské výsledky za rok 2012</w:t>
      </w:r>
    </w:p>
    <w:p w:rsidR="006A6ED5" w:rsidRPr="006A6ED5" w:rsidRDefault="006A6ED5" w:rsidP="006A6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6E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Společnost AGROFERT HOLDING, a.s. uzavřela svou v pořadí již patnáctou konsolidovanou účetní závěrku, která plně odráží skutečnosti roku 2012 v konsolidačním celku sestávajícím z 209 společností, </w:t>
      </w:r>
      <w:proofErr w:type="gramStart"/>
      <w:r w:rsidRPr="006A6E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tj. z 192</w:t>
      </w:r>
      <w:proofErr w:type="gramEnd"/>
      <w:r w:rsidRPr="006A6E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společností ovládaných a řízených, jedné společnosti </w:t>
      </w:r>
      <w:proofErr w:type="spellStart"/>
      <w:r w:rsidRPr="006A6E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spoluovládané</w:t>
      </w:r>
      <w:proofErr w:type="spellEnd"/>
      <w:r w:rsidRPr="006A6ED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 z 16 společností pod podstatným vlivem (30 společností nebylo zařazeno z důvodu nevýznamnosti). S ohledem na vykázané výsledky skupiny je možné konstatovat, že i nadále si skupina udržuje významné postavení v jednotlivých segmentech svého podnikání.</w:t>
      </w:r>
    </w:p>
    <w:p w:rsidR="006A6ED5" w:rsidRPr="006A6ED5" w:rsidRDefault="006A6ED5" w:rsidP="006A6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Konsolidovaný výsledek hospodaření dosáhl 6 031 milionů Kč oproti loňským 8 677 milionům Kč, přičemž hodnota EBITDA poklesla na 12 356 milionů Kč z loňských 14 594 milionů Kč. Hospodářský výsledek před zdaněním činí 7 734 milionů Kč. Hlavním důvodem tohoto poklesu je zhoršení hospodaření společností chemického sektoru a dále horší hospodářské výsledky společností zabývajících se převážně obchodní činností. Naopak mírné zlepšení zaznamenal sektor zemědělství. Nově zařazené společnosti </w:t>
      </w:r>
      <w:proofErr w:type="gram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proofErr w:type="gram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výsledku </w:t>
      </w:r>
      <w:proofErr w:type="gram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hospodaření podílejí</w:t>
      </w:r>
      <w:proofErr w:type="gram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pouze nevýznamnou měrou.</w:t>
      </w:r>
    </w:p>
    <w:p w:rsidR="006A6ED5" w:rsidRPr="006A6ED5" w:rsidRDefault="006A6ED5" w:rsidP="006A6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Konsolidované tržby za prodej zboží, výrobků a služeb byly vykázány ve výši 132,500 miliard Kč (v r. 2011: 117,607 miliard Kč). Nekonsolidované tržby skupiny dosáhly hodnoty 205,149 miliard Kč (v r. 2011: 176,254 miliard Kč). V porovnání s minulým rokem došlo ke zvýšení objemu konsolidovaných tržeb o 14,893 miliard Kč (12,66 %). To je způsobeno opětovným mírným nárůstem tržeb v chemickém sektoru a zejména pak zvýšením obratu společností zabývajících se převážně obchodní činností. Zvýšenou výkonnost zaznamenala rovněž skupina společností působících v oblasti zemědělství a také společnosti zabývající se potravinářskou výrobou. Pozitivní dopad na celkový obrat má i zahrnutí celoročních tržeb společností dřevařského průmyslu, které byly nakoupeny v druhé polovině roku 2011. Přibližně jednou desetinnou se na zvýšení tržeb skupiny podílejí společnosti nově nakoupené v průběhu roku 2012.</w:t>
      </w:r>
    </w:p>
    <w:p w:rsidR="006A6ED5" w:rsidRPr="006A6ED5" w:rsidRDefault="006A6ED5" w:rsidP="006A6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Bilanční suma (netto) vzrostla z původních 89 542 milionů Kč na 96 168 milionů Kč, což představuje nárůst o cca 7,5 %. K významnějším pohybům patří nárůst dlouhodobého hmotného majetku v hodnotě 1 706 milionů Kč (tvořený z 60 % majetkem nově zařazených společností), nárůst stavu zásob na skladě v hodnotě 3 285 milionů Kč a nárůst krátkodobých pohledávek v hodnotě 610 milionů Kč. Investice (rozvojové, obnovovací či finanční) činily v roce 2012 celkem 7 780 milionů Kč. Na straně pasiv došlo k paralelnímu nárůstu krátkodobých závazků o částku 885 milionů Kč. Bankovní úvěry oproti minulému roku nepatrně vzrostly o 163 milionů Kč (z 22 996 milionů Kč na 23 159 milionů Kč), což je dáno začleněním nových podniků do skupiny (představujících přírůstek úvěrů ve výši 314 milionů Kč).</w:t>
      </w:r>
    </w:p>
    <w:p w:rsidR="006A6ED5" w:rsidRPr="006A6ED5" w:rsidRDefault="006A6ED5" w:rsidP="006A6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V důsledku pokračování restrukturalizace skupiny proběhlo v roce 2012 v rámci konsolidačního celku značné množství fúzí, převzetí jmění, navyšování základního kapitálu, ale i zakládání nových společností, a to vše s cílem vytvořit podmínky pro optimální nastavení hlavních aktivit jednotlivých společností, operativní řízení a zefektivnění rozhodovacích procesů.</w:t>
      </w:r>
    </w:p>
    <w:p w:rsidR="006A6ED5" w:rsidRPr="006A6ED5" w:rsidRDefault="006A6ED5" w:rsidP="006A6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K nejvýznamnějším akvizicím roku 2012 patří nákup skupiny podniků kolem společnosti AGROPODNIK DOMAŽLICE a. s. působících v zemědělském sektoru. Významnou zahraniční akvizicí je převzetí obchodních aktivit maďarské společnosti IKR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Termelésfejlesztési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és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Kereskedelmi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Zrt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., rovněž působící v oblasti zemědělství, včetně přímého odkupu jejích dceřiných společností IKR Agro-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Vár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Kft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IKR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Szolgáltató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és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Szaktanácsadó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Kft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., Pécs-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Reménypusztai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Kft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Pécsváradi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AGROVER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Kft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A6ED5" w:rsidRPr="006A6ED5" w:rsidRDefault="006A6ED5" w:rsidP="006A6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Kromě změn skupiny AGROFERT HOLDING vyvolaných novými akvizicemi, došlo v roce 2012 v rámci restrukturalizace skupiny naopak i k redukci počtu společností, především v důsledku fúzí. V průběhu roku zanikly bez likvidace zejména tyto významné společnosti: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Agroservis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Tachov, a. s. (nástupnickými společnostmi jsou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Agrona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 a. s. a Primagra, a.s.), TECHAGRA a.s. (nástupnickou společností je Agropodnik a. s. Trnava), MULTI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Pékség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Betéti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Társaság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(nástupnickou společností je Ceres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Sütőipari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Zártkörűen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Működő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Részvénytársaság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ISTROCHEM PLASTY, s.r.o. (nástupnickou společností je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Istrochem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Reality, a.s.), AGF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Wood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a.s., Wotan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Forest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Service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a.s. (nástupnickou společností je Wotan </w:t>
      </w:r>
      <w:proofErr w:type="spell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Forest</w:t>
      </w:r>
      <w:proofErr w:type="spell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, a.s.), CHOVANEČEK, a.</w:t>
      </w:r>
      <w:proofErr w:type="gramStart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s., Z.O.</w:t>
      </w:r>
      <w:proofErr w:type="gramEnd"/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P. a.s. (nástupnickou společností je ZEDNÍČEK a.s.). Ve výčtu jsou vyjmenovány pouze nejvýznamnější společnosti z celkového počtu 16 zaniklých společností.</w:t>
      </w:r>
    </w:p>
    <w:p w:rsidR="006A6ED5" w:rsidRPr="006A6ED5" w:rsidRDefault="006A6ED5" w:rsidP="006A6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6ED5">
        <w:rPr>
          <w:rFonts w:ascii="Times New Roman" w:eastAsia="Times New Roman" w:hAnsi="Times New Roman" w:cs="Times New Roman"/>
          <w:sz w:val="24"/>
          <w:szCs w:val="24"/>
          <w:lang w:eastAsia="cs-CZ"/>
        </w:rPr>
        <w:t>V budoucnosti se i nadále bude skupina zaměřovat hlavně na restrukturalizaci zemědělských a potravinářských firem a dále na personální zázemí skupiny s cílem vytvořit dostatečné personální rezervy na jednotlivé manažerské pozice.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D5"/>
    <w:rsid w:val="003E0298"/>
    <w:rsid w:val="006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A6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6ED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6A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A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A6E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A6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6ED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bold">
    <w:name w:val="bold"/>
    <w:basedOn w:val="Normln"/>
    <w:rsid w:val="006A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A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A6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2015-06-25T08:29:00Z</dcterms:created>
  <dcterms:modified xsi:type="dcterms:W3CDTF">2015-06-25T08:30:00Z</dcterms:modified>
</cp:coreProperties>
</file>